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jc w:val="center"/>
        <w:textAlignment w:val="auto"/>
        <w:outlineLvl w:val="9"/>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一级学科名称（代码）：网络空间安全（0839）</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jc w:val="center"/>
        <w:textAlignment w:val="auto"/>
        <w:outlineLvl w:val="9"/>
        <w:rPr>
          <w:rFonts w:hint="eastAsia" w:asciiTheme="minorEastAsia" w:hAnsiTheme="minorEastAsia" w:eastAsiaTheme="minorEastAsia" w:cstheme="minorEastAsia"/>
          <w:b/>
          <w:bCs/>
          <w:color w:val="000000"/>
          <w:sz w:val="28"/>
          <w:szCs w:val="28"/>
        </w:rPr>
      </w:pP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第一部分</w:t>
      </w:r>
      <w:r>
        <w:rPr>
          <w:rFonts w:hint="eastAsia" w:asciiTheme="minorEastAsia" w:hAnsiTheme="minorEastAsia" w:eastAsiaTheme="minorEastAsia" w:cstheme="minorEastAsia"/>
          <w:b/>
          <w:bCs/>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rPr>
        <w:t>本学科博士学位授权点申请基本条件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至少具有一个能反映申请单位特色的学科方向。如果申请单位有二个或以上相关学科（包括计算机科学与技术一级学科、信息与通信工程一级学科、数学一级学科、软件工程一级学科、控制科学与工程一级学科、电子科学与技术一级学科、密码学二级学科，下同）的博士学位授予权，则需要至少有二个本学科的主干学科方向来支撑学科发展；如果申请单位仅有一个相关学科的博士学位授予权，则需要至少有三个本学科的主干学科方向来支撑学科发展。</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．学科特色。学科方向具有与国家、区域发展需求契合度高的学科特色和优势，且具有良好的社会声誉。军队院校申报的学科方向应具有与军队发展需求契合度高的学科特色和优势。</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如果申请单位有二个或以上相关学科的博士学位授予权，则专任教师不少于21人，其中教授不少于7人；如果申请单位仅有一个相关学科的博士学位授予权，则专任教师不少于24人，其中教授不少于9人。每个学科方向专任教师不少于6人，其中教授不少于2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．人员结构。专任教师年龄结构、学缘结构、学科专长结构等合理。其中，获外单位硕士及以上学位的比例不低于20%，获博士学位比例不低于60%，35岁及以下的比例不低于20%。</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学科带头人作为项目负责人完成过国家级科研项目，并获得过省部级及以上科研奖项（海外归国人员除外）。学科带头人和学科方向带头人在本学科或相近学科担任博士生导师，并完整培养过一届博士。学术骨干在本学科或相近学科担任博士生导师或者硕士生导师，至少有1人完整培养过一届博士。学科带头人、学科方向带头人和学术骨干在国际学术期刊或会议上发表过高水平学术论文。</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．培养概况。本学科或相关学科硕士研究生有较好的生源，每年硕士学位授予人数原则上不低于30人。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．课程与教学。已制定完善的博士研究生培养方案和硕士研究</w:t>
      </w:r>
      <w:bookmarkStart w:id="0" w:name="_GoBack"/>
      <w:bookmarkEnd w:id="0"/>
      <w:r>
        <w:rPr>
          <w:rFonts w:hint="eastAsia" w:asciiTheme="minorEastAsia" w:hAnsiTheme="minorEastAsia" w:eastAsiaTheme="minorEastAsia" w:cstheme="minorEastAsia"/>
          <w:color w:val="000000"/>
          <w:sz w:val="24"/>
          <w:szCs w:val="24"/>
        </w:rPr>
        <w:t>生培养方案，其中70%以上的核心课程已在本学科或相关学科开设。</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．培养质量。本学科或相关学科毕业硕士生具有良好的职业发展和社会评价。毕业硕士生有一定比例继续攻读博士学位。在学硕士生能够发表高水平的学术论文、申请专利或制定标准等。</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．科学研究。近5年，专任教师获多项省部级及以上科研奖励，主持多项省部级及以上科研项目，专任教师年均纵向科研经费不低于15万元。有较大比例的研究生参与高水平科研项目。</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．学术交流。每年主持召开或参加国际学术会议、全国学术会议。研究生参加国内外学术交流比例不低于50%。</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11</w:t>
      </w:r>
      <w:r>
        <w:rPr>
          <w:rFonts w:hint="eastAsia" w:asciiTheme="minorEastAsia" w:hAnsiTheme="minorEastAsia" w:eastAsiaTheme="minorEastAsia" w:cstheme="minorEastAsia"/>
          <w:color w:val="000000"/>
          <w:sz w:val="24"/>
          <w:szCs w:val="24"/>
        </w:rPr>
        <w:t xml:space="preserve">．支撑条件。具备良好的用于研究生教学和科研的平台、基地、实验室及图书文献资料、数据库等办学资源。具有充足的用于本学科研究生奖助学金、研究生培养经费等资金条件。学校具有明确的学科建设、学风建设、研究生培养等管理制度、管理机构、管理人员等。 </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第二部分本学科硕士学位授权点申请基本条件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．学科方向。至少有二个主干学科方向来支撑学科发展，且至少具有一个能反映申请单位特色的学科方向。</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．学科特色。学科方向具有与国家、区域发展需求契合度高的学科特色和优势，且具有良好的社会声誉。军队院校申报的学科方向应具有与军队发展需求契合度高的学科特色和优势。</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．人员规模。专任教师不少于12人，其中教授不少于4人；每个学科方向专任教师不少于3人，其中教授不少于1人。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．人员结构。专任教师年龄结构、学缘结构、学科专长结构等合理。其中，获外单位硕士及以上学位的比例不低于20%，获博士学位比例不低于50%，35岁及以下的比例不低于20%。</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学科带头人是本学科或相近学科硕士生导师，完整培养过一届硕士；作为项目负责人完成过省部级及以上科研项目，获得过市级及以上科研奖项。学科方向带头人和学术骨干在本学科或相近学科担任硕士生导师，并作为项目负责人或主研人完成过市级及以上科研项目。</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．课程与教学。每年培养相关学科本科生不低于30人，硕士研究生具有较高的创新能力和实践能力。已制定完善的硕士研究生培养方案，其中70%以上的核心课程已在本学科或相关学科开设。</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．培养质量。毕业生具有良好的职业发展和社会评价。在学本科生或相关学科硕士生能够发表高水平的学术论文、申请专利或制定标准等。</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．科学研究。近5年，网络空间安全相关学科专任教师获多项市级及以上科研奖励，主持多项市级及以上科研项目，专任教师年均科研经费不低于5万元。相关学科研究生中有较大比例参与高水平科研项目。</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．学术交流。每年参加国际学术会议、全国学术会议。相关学科研究生参加校外学术交流比例不低于20%。</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 xml:space="preserve">．支撑条件。具备良好的用于研究生教学和科研的平台、基地、实验室及图书文献资料、数据库等办学资源。具有充足的用于本学科研究生奖助学金、研究生培养经费等的资金条件。学校具有明确的学科建设、学风建设、研究生培养等管理制度、管理机构、管理人员等。 </w:t>
      </w:r>
    </w:p>
    <w:sectPr>
      <w:pgSz w:w="11850" w:h="16783"/>
      <w:pgMar w:top="1324" w:right="1315" w:bottom="946" w:left="13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altName w:val="黑体"/>
    <w:panose1 w:val="00000000000000000000"/>
    <w:charset w:val="86"/>
    <w:family w:val="swiss"/>
    <w:pitch w:val="default"/>
    <w:sig w:usb0="00000000" w:usb1="00000000" w:usb2="00000000" w:usb3="00000000" w:csb0="00040000" w:csb1="00000000"/>
  </w:font>
  <w:font w:name="宋体e眠副浡渀.">
    <w:altName w:val="宋体"/>
    <w:panose1 w:val="00000000000000000000"/>
    <w:charset w:val="86"/>
    <w:family w:val="roman"/>
    <w:pitch w:val="default"/>
    <w:sig w:usb0="00000000" w:usb1="00000000" w:usb2="00000000" w:usb3="00000000" w:csb0="00040000" w:csb1="00000000"/>
  </w:font>
  <w:font w:name="黑体_x0015_..硈..">
    <w:altName w:val="黑体"/>
    <w:panose1 w:val="00000000000000000000"/>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哞.硈..">
    <w:altName w:val="黑体"/>
    <w:panose1 w:val="00000000000000000000"/>
    <w:charset w:val="86"/>
    <w:family w:val="swiss"/>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B1FD6"/>
    <w:rsid w:val="72EE56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uiPriority w:val="99"/>
    <w:pPr>
      <w:widowControl w:val="0"/>
      <w:autoSpaceDE w:val="0"/>
      <w:autoSpaceDN w:val="0"/>
      <w:adjustRightInd w:val="0"/>
      <w:spacing w:beforeLines="0" w:afterLines="0"/>
    </w:pPr>
    <w:rPr>
      <w:rFonts w:hint="eastAsia" w:ascii="黑体,....." w:hAnsi="黑体,....." w:eastAsia="黑体,....."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2018-01-07T09:12:00Z</dcterms:created>
  <dc:creator>best</dc:creator>
  <cp:lastModifiedBy>BestI</cp:lastModifiedBy>
  <cp:lastPrinted>2018-02-27T08:04:13Z</cp:lastPrinted>
  <dcterms:modified xsi:type="dcterms:W3CDTF">2018-02-27T08:04:18Z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